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Spoelpijp</w:t></w:r></w:p><w:p><w:pPr/><w:r><w:rPr><w:rFonts w:ascii="Calibri" w:hAnsi="Calibri" w:eastAsia="Calibri" w:cs="Calibri"/><w:sz w:val="22"/><w:szCs w:val="22"/></w:rPr><w:t xml:space="preserve">Voor VILLEROY & BOCH urinoir "Losange 7530"</w:t></w:r></w:p><w:p><w:pPr/><w:r><w:rPr><w:rFonts w:ascii="Calibri" w:hAnsi="Calibri" w:eastAsia="Calibri" w:cs="Calibri"/><w:sz w:val="22"/><w:szCs w:val="22"/></w:rPr><w:t xml:space="preserve">F1/2"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Spoelpijp voor urinoir van VILLEROY & BOCH Losange 7530 met watereffect. </w:t></w:r></w:p><w:p><w:pPr><w:spacing w:line="288" w:lineRule="auto"/></w:pPr><w:r><w:rPr><w:rFonts w:ascii="Calibri" w:hAnsi="Calibri" w:eastAsia="Calibri" w:cs="Calibri"/><w:sz w:val="22"/><w:szCs w:val="22"/></w:rPr><w:t xml:space="preserve">F1/2". 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2025-04-05T15:13:34+02:00</dcterms:created>
  <dcterms:modified xsi:type="dcterms:W3CDTF">2025-04-05T15:13:34+02:00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